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22"/>
      </w:tblGrid>
      <w:tr w:rsidR="00A87975" w:rsidTr="00AC08D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67" w:type="pct"/>
            <w:vMerge w:val="restart"/>
          </w:tcPr>
          <w:p w:rsidR="00A87975" w:rsidRPr="009D21CF" w:rsidRDefault="00A87975" w:rsidP="00D025BD">
            <w:pPr>
              <w:rPr>
                <w:b/>
                <w:sz w:val="28"/>
              </w:rPr>
            </w:pPr>
            <w:r w:rsidRPr="009D21CF">
              <w:rPr>
                <w:b/>
                <w:sz w:val="28"/>
              </w:rPr>
              <w:t>Veranstaltung:</w:t>
            </w:r>
          </w:p>
          <w:p w:rsidR="00A87975" w:rsidRDefault="00A87975" w:rsidP="00D025BD"/>
          <w:p w:rsidR="00A87975" w:rsidRPr="009D21CF" w:rsidRDefault="00A87975" w:rsidP="00D025BD">
            <w:pPr>
              <w:rPr>
                <w:b/>
              </w:rPr>
            </w:pPr>
            <w:r w:rsidRPr="009D21CF">
              <w:rPr>
                <w:b/>
                <w:sz w:val="28"/>
              </w:rPr>
              <w:t>am:</w:t>
            </w:r>
          </w:p>
        </w:tc>
        <w:tc>
          <w:tcPr>
            <w:tcW w:w="3533" w:type="pct"/>
            <w:gridSpan w:val="11"/>
            <w:shd w:val="clear" w:color="auto" w:fill="FFFF00"/>
          </w:tcPr>
          <w:p w:rsidR="00A87975" w:rsidRPr="009D21CF" w:rsidRDefault="00A87975" w:rsidP="00A87975">
            <w:pPr>
              <w:jc w:val="center"/>
              <w:rPr>
                <w:b/>
                <w:sz w:val="28"/>
              </w:rPr>
            </w:pPr>
            <w:r w:rsidRPr="009D21CF">
              <w:rPr>
                <w:b/>
                <w:sz w:val="28"/>
              </w:rPr>
              <w:t>In Speisen oder Getränken enthaltene Zusatzstoffe</w:t>
            </w:r>
          </w:p>
          <w:p w:rsidR="00A87975" w:rsidRPr="00A87975" w:rsidRDefault="00A87975" w:rsidP="00A879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A87975">
              <w:rPr>
                <w:sz w:val="22"/>
              </w:rPr>
              <w:t>Bitte entsprechende Spalte(n) ankreuzen!</w:t>
            </w:r>
            <w:r>
              <w:rPr>
                <w:sz w:val="22"/>
              </w:rPr>
              <w:t>)</w:t>
            </w:r>
          </w:p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1467" w:type="pct"/>
            <w:vMerge/>
          </w:tcPr>
          <w:p w:rsidR="00A87975" w:rsidRDefault="00A87975" w:rsidP="00D025BD"/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Farbstoff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Koffein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Antikoxidationsmittel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Konservierungsstoff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Geschmacksverstärker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Pr="00A87975" w:rsidRDefault="00A87975" w:rsidP="00A87975">
            <w:pPr>
              <w:ind w:left="113" w:right="113"/>
              <w:jc w:val="left"/>
            </w:pPr>
            <w:r>
              <w:t>geschwärzt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Pr="00A87975" w:rsidRDefault="00A87975" w:rsidP="00A87975">
            <w:pPr>
              <w:ind w:left="113" w:right="113"/>
              <w:jc w:val="left"/>
            </w:pPr>
            <w:r>
              <w:t>gewachst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Phosphat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Mit Süßungsmittel(n)</w:t>
            </w:r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 w:rsidRPr="00A87975">
              <w:t xml:space="preserve">enthält eine </w:t>
            </w:r>
            <w:proofErr w:type="spellStart"/>
            <w:r w:rsidRPr="00A87975">
              <w:t>Phenylalaninquelle</w:t>
            </w:r>
            <w:proofErr w:type="spellEnd"/>
          </w:p>
        </w:tc>
        <w:tc>
          <w:tcPr>
            <w:tcW w:w="321" w:type="pct"/>
            <w:vMerge w:val="restart"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  <w:r>
              <w:t>Kann bei Übermäßigem Verzehr abführend wirken</w:t>
            </w:r>
          </w:p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67" w:type="pct"/>
            <w:shd w:val="clear" w:color="auto" w:fill="DBE5F1" w:themeFill="accent1" w:themeFillTint="33"/>
          </w:tcPr>
          <w:p w:rsidR="00A87975" w:rsidRPr="009D21CF" w:rsidRDefault="00A87975" w:rsidP="00D025BD">
            <w:pPr>
              <w:rPr>
                <w:b/>
              </w:rPr>
            </w:pPr>
            <w:r w:rsidRPr="009D21CF">
              <w:rPr>
                <w:b/>
                <w:sz w:val="28"/>
              </w:rPr>
              <w:t>Speise oder Getränk</w:t>
            </w: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Pr="00A87975" w:rsidRDefault="00A87975" w:rsidP="00A87975">
            <w:pPr>
              <w:ind w:left="113" w:right="113"/>
              <w:jc w:val="left"/>
            </w:pPr>
          </w:p>
        </w:tc>
        <w:tc>
          <w:tcPr>
            <w:tcW w:w="321" w:type="pct"/>
            <w:vMerge/>
            <w:textDirection w:val="btLr"/>
          </w:tcPr>
          <w:p w:rsidR="00A87975" w:rsidRDefault="00A87975" w:rsidP="00A87975">
            <w:pPr>
              <w:ind w:left="113" w:right="113"/>
              <w:jc w:val="left"/>
            </w:pPr>
          </w:p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67" w:type="pct"/>
          </w:tcPr>
          <w:p w:rsidR="00A87975" w:rsidRDefault="00A87975" w:rsidP="00D025BD">
            <w:bookmarkStart w:id="0" w:name="_GoBack"/>
            <w:bookmarkEnd w:id="0"/>
          </w:p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  <w:tr w:rsidR="00AC08D8" w:rsidTr="00AC08D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67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  <w:tc>
          <w:tcPr>
            <w:tcW w:w="321" w:type="pct"/>
          </w:tcPr>
          <w:p w:rsidR="00A87975" w:rsidRDefault="00A87975" w:rsidP="00D025BD"/>
        </w:tc>
      </w:tr>
    </w:tbl>
    <w:p w:rsidR="00586495" w:rsidRPr="00D025BD" w:rsidRDefault="00586495" w:rsidP="00D025BD"/>
    <w:sectPr w:rsidR="00586495" w:rsidRPr="00D025BD" w:rsidSect="00A8797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75"/>
    <w:rsid w:val="003029AB"/>
    <w:rsid w:val="0039244D"/>
    <w:rsid w:val="0052498F"/>
    <w:rsid w:val="00586495"/>
    <w:rsid w:val="009D21CF"/>
    <w:rsid w:val="00A87975"/>
    <w:rsid w:val="00AC08D8"/>
    <w:rsid w:val="00D025BD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8F8"/>
  <w15:chartTrackingRefBased/>
  <w15:docId w15:val="{EED5F3F1-9F45-4B13-99E0-F764030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021-F807-4F48-8AAD-4A89B94C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Rhein-Neckar-Kreis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Beaujot, Pascal</dc:creator>
  <cp:keywords/>
  <dc:description/>
  <cp:lastModifiedBy>Beaujot, Pascal</cp:lastModifiedBy>
  <cp:revision>2</cp:revision>
  <dcterms:created xsi:type="dcterms:W3CDTF">2022-06-10T08:50:00Z</dcterms:created>
  <dcterms:modified xsi:type="dcterms:W3CDTF">2022-06-10T09:19:00Z</dcterms:modified>
</cp:coreProperties>
</file>